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37A" w:rsidRPr="007F1C1F" w:rsidRDefault="007F1C1F" w:rsidP="0086637A">
      <w:pPr>
        <w:spacing w:after="0"/>
        <w:jc w:val="center"/>
        <w:rPr>
          <w:rFonts w:cstheme="minorHAnsi"/>
          <w:b/>
          <w:sz w:val="19"/>
          <w:szCs w:val="19"/>
          <w:lang w:val="en-US" w:eastAsia="ru-RU"/>
        </w:rPr>
      </w:pPr>
      <w:r w:rsidRPr="007F1C1F">
        <w:rPr>
          <w:rFonts w:cstheme="minorHAnsi"/>
          <w:b/>
          <w:sz w:val="19"/>
          <w:szCs w:val="19"/>
          <w:lang w:val="en-US" w:eastAsia="ru-RU"/>
        </w:rPr>
        <w:t>Personal Data Processing Rules</w:t>
      </w:r>
    </w:p>
    <w:p w:rsidR="0086637A" w:rsidRDefault="0086637A" w:rsidP="0086637A">
      <w:pPr>
        <w:spacing w:after="0"/>
        <w:rPr>
          <w:rFonts w:cstheme="minorHAnsi"/>
          <w:sz w:val="19"/>
          <w:szCs w:val="19"/>
          <w:lang w:val="en-US" w:eastAsia="ru-RU"/>
        </w:rPr>
      </w:pPr>
    </w:p>
    <w:p w:rsidR="0086637A" w:rsidRDefault="0086637A" w:rsidP="0086637A">
      <w:pPr>
        <w:spacing w:after="0"/>
        <w:rPr>
          <w:rFonts w:cstheme="minorHAnsi"/>
          <w:sz w:val="19"/>
          <w:szCs w:val="19"/>
          <w:lang w:val="en-US" w:eastAsia="ru-RU"/>
        </w:rPr>
      </w:pPr>
    </w:p>
    <w:p w:rsidR="0086637A" w:rsidRDefault="0086637A" w:rsidP="0086637A">
      <w:pPr>
        <w:numPr>
          <w:ilvl w:val="0"/>
          <w:numId w:val="1"/>
        </w:numPr>
        <w:spacing w:after="0"/>
        <w:ind w:left="317" w:hanging="317"/>
        <w:contextualSpacing/>
        <w:rPr>
          <w:rFonts w:cstheme="minorHAnsi"/>
          <w:sz w:val="19"/>
          <w:szCs w:val="19"/>
          <w:lang w:val="en-US" w:eastAsia="ru-RU"/>
        </w:rPr>
      </w:pPr>
      <w:r>
        <w:rPr>
          <w:rFonts w:cstheme="minorHAnsi"/>
          <w:sz w:val="19"/>
          <w:szCs w:val="19"/>
          <w:lang w:val="en-US" w:eastAsia="ru-RU"/>
        </w:rPr>
        <w:t>The Parties in accordance with requirements of</w:t>
      </w:r>
      <w:r w:rsidRPr="00211AA0">
        <w:rPr>
          <w:rFonts w:cstheme="minorHAnsi"/>
          <w:sz w:val="19"/>
          <w:szCs w:val="19"/>
          <w:lang w:val="en-US" w:eastAsia="ru-RU"/>
        </w:rPr>
        <w:t xml:space="preserve"> </w:t>
      </w:r>
      <w:r>
        <w:rPr>
          <w:rFonts w:cstheme="minorHAnsi"/>
          <w:sz w:val="19"/>
          <w:szCs w:val="19"/>
          <w:lang w:val="en-US" w:eastAsia="ru-RU"/>
        </w:rPr>
        <w:t xml:space="preserve">the </w:t>
      </w:r>
      <w:r w:rsidR="007F1C1F">
        <w:rPr>
          <w:rFonts w:cstheme="minorHAnsi"/>
          <w:sz w:val="19"/>
          <w:szCs w:val="19"/>
          <w:lang w:val="en-US" w:eastAsia="ru-RU"/>
        </w:rPr>
        <w:t>Article 6.1 and Article 18.4 of the Federal Law No. 152-FZ as of 27.07.2006 “On Personal Data”</w:t>
      </w:r>
      <w:r>
        <w:rPr>
          <w:rFonts w:cstheme="minorHAnsi"/>
          <w:sz w:val="19"/>
          <w:szCs w:val="19"/>
          <w:lang w:val="en-US" w:eastAsia="ru-RU"/>
        </w:rPr>
        <w:t xml:space="preserve"> shall ensure lawful transfer of personal data to each other in the composition and combination as may be required to achieve one, several or all of the following purposes, that are relevant to the relationship between the Parties:</w:t>
      </w:r>
    </w:p>
    <w:p w:rsidR="0086637A" w:rsidRPr="0086637A" w:rsidRDefault="00C279C5" w:rsidP="0086637A">
      <w:pPr>
        <w:numPr>
          <w:ilvl w:val="3"/>
          <w:numId w:val="2"/>
        </w:numPr>
        <w:spacing w:after="0"/>
        <w:ind w:left="709" w:hanging="425"/>
        <w:contextualSpacing/>
        <w:rPr>
          <w:rFonts w:eastAsia="Calibri"/>
          <w:sz w:val="19"/>
          <w:szCs w:val="19"/>
          <w:lang w:val="en-US"/>
        </w:rPr>
      </w:pPr>
      <w:r>
        <w:rPr>
          <w:rFonts w:eastAsia="Calibri"/>
          <w:sz w:val="19"/>
          <w:szCs w:val="19"/>
          <w:lang w:val="en-US"/>
        </w:rPr>
        <w:t xml:space="preserve">execution of the agreements and </w:t>
      </w:r>
      <w:r w:rsidR="0086637A" w:rsidRPr="0086637A">
        <w:rPr>
          <w:rFonts w:eastAsia="Calibri"/>
          <w:sz w:val="19"/>
          <w:szCs w:val="19"/>
          <w:lang w:val="en-US"/>
        </w:rPr>
        <w:t xml:space="preserve">fulfillment </w:t>
      </w:r>
      <w:r w:rsidR="0076124E">
        <w:rPr>
          <w:rFonts w:eastAsia="Calibri"/>
          <w:sz w:val="19"/>
          <w:szCs w:val="19"/>
          <w:lang w:val="en-US"/>
        </w:rPr>
        <w:t xml:space="preserve">of the agreements </w:t>
      </w:r>
      <w:r w:rsidR="0086637A" w:rsidRPr="0086637A">
        <w:rPr>
          <w:rFonts w:eastAsia="Calibri"/>
          <w:sz w:val="19"/>
          <w:szCs w:val="19"/>
          <w:lang w:val="en-US"/>
        </w:rPr>
        <w:t>that have been concluded between the Parties;</w:t>
      </w:r>
    </w:p>
    <w:p w:rsidR="0086637A" w:rsidRPr="0086637A" w:rsidRDefault="0086637A" w:rsidP="0086637A">
      <w:pPr>
        <w:numPr>
          <w:ilvl w:val="3"/>
          <w:numId w:val="2"/>
        </w:numPr>
        <w:spacing w:after="0"/>
        <w:ind w:left="709" w:hanging="425"/>
        <w:contextualSpacing/>
        <w:rPr>
          <w:rFonts w:eastAsia="Calibri"/>
          <w:sz w:val="19"/>
          <w:szCs w:val="19"/>
          <w:lang w:val="en-US"/>
        </w:rPr>
      </w:pPr>
      <w:r w:rsidRPr="0086637A">
        <w:rPr>
          <w:rFonts w:eastAsia="Calibri"/>
          <w:sz w:val="19"/>
          <w:szCs w:val="19"/>
          <w:lang w:val="en-US"/>
        </w:rPr>
        <w:t>the business negotiations between the Parties;</w:t>
      </w:r>
    </w:p>
    <w:p w:rsidR="0086637A" w:rsidRPr="0086637A" w:rsidRDefault="0086637A" w:rsidP="0086637A">
      <w:pPr>
        <w:numPr>
          <w:ilvl w:val="3"/>
          <w:numId w:val="2"/>
        </w:numPr>
        <w:spacing w:after="0"/>
        <w:ind w:left="709" w:hanging="425"/>
        <w:contextualSpacing/>
        <w:rPr>
          <w:rFonts w:eastAsia="Calibri"/>
          <w:sz w:val="19"/>
          <w:szCs w:val="19"/>
          <w:lang w:val="en-US"/>
        </w:rPr>
      </w:pPr>
      <w:r w:rsidRPr="0086637A">
        <w:rPr>
          <w:rFonts w:eastAsia="Calibri"/>
          <w:sz w:val="19"/>
          <w:szCs w:val="19"/>
          <w:lang w:val="en-US"/>
        </w:rPr>
        <w:t>the compliance monitoring of business processes of the Parties with appropriate standards and requirements;</w:t>
      </w:r>
    </w:p>
    <w:p w:rsidR="0086637A" w:rsidRPr="00C849F9" w:rsidRDefault="0086637A" w:rsidP="0076124E">
      <w:pPr>
        <w:numPr>
          <w:ilvl w:val="3"/>
          <w:numId w:val="2"/>
        </w:numPr>
        <w:spacing w:after="0"/>
        <w:ind w:left="709" w:hanging="425"/>
        <w:contextualSpacing/>
        <w:rPr>
          <w:rFonts w:eastAsia="Calibri"/>
          <w:sz w:val="19"/>
          <w:szCs w:val="19"/>
          <w:lang w:val="en-US"/>
        </w:rPr>
      </w:pPr>
      <w:proofErr w:type="gramStart"/>
      <w:r w:rsidRPr="0086637A">
        <w:rPr>
          <w:rFonts w:eastAsia="Calibri"/>
          <w:sz w:val="19"/>
          <w:szCs w:val="19"/>
          <w:lang w:val="en-US"/>
        </w:rPr>
        <w:t>the</w:t>
      </w:r>
      <w:proofErr w:type="gramEnd"/>
      <w:r w:rsidRPr="0086637A">
        <w:rPr>
          <w:rFonts w:eastAsia="Calibri"/>
          <w:sz w:val="19"/>
          <w:szCs w:val="19"/>
          <w:lang w:val="en-US"/>
        </w:rPr>
        <w:t xml:space="preserve"> exercise of due diligence by the Parties.</w:t>
      </w:r>
    </w:p>
    <w:p w:rsidR="004241CB" w:rsidRPr="00C849F9" w:rsidRDefault="0086637A" w:rsidP="00305BB0">
      <w:pPr>
        <w:numPr>
          <w:ilvl w:val="0"/>
          <w:numId w:val="1"/>
        </w:numPr>
        <w:spacing w:after="0"/>
        <w:ind w:left="284" w:hanging="284"/>
        <w:contextualSpacing/>
        <w:rPr>
          <w:rFonts w:cstheme="minorHAnsi"/>
          <w:sz w:val="19"/>
          <w:szCs w:val="19"/>
          <w:lang w:val="en-US" w:eastAsia="ru-RU"/>
        </w:rPr>
      </w:pPr>
      <w:r>
        <w:rPr>
          <w:rFonts w:cstheme="minorHAnsi"/>
          <w:sz w:val="19"/>
          <w:szCs w:val="19"/>
          <w:lang w:val="en-US" w:eastAsia="ru-RU"/>
        </w:rPr>
        <w:t xml:space="preserve">Each of the Parties is independently acting </w:t>
      </w:r>
      <w:r w:rsidR="004241CB">
        <w:rPr>
          <w:rFonts w:cstheme="minorHAnsi"/>
          <w:sz w:val="19"/>
          <w:szCs w:val="19"/>
          <w:lang w:val="en-US" w:eastAsia="ru-RU"/>
        </w:rPr>
        <w:t xml:space="preserve">as a </w:t>
      </w:r>
      <w:r>
        <w:rPr>
          <w:rFonts w:cstheme="minorHAnsi"/>
          <w:sz w:val="19"/>
          <w:szCs w:val="19"/>
          <w:lang w:val="en-US" w:eastAsia="ru-RU"/>
        </w:rPr>
        <w:t xml:space="preserve">data controller with respect to personal data transferred to </w:t>
      </w:r>
      <w:r w:rsidR="004241CB">
        <w:rPr>
          <w:rFonts w:cstheme="minorHAnsi"/>
          <w:sz w:val="19"/>
          <w:szCs w:val="19"/>
          <w:lang w:val="en-US" w:eastAsia="ru-RU"/>
        </w:rPr>
        <w:t>such Party</w:t>
      </w:r>
      <w:r>
        <w:rPr>
          <w:rFonts w:cstheme="minorHAnsi"/>
          <w:sz w:val="19"/>
          <w:szCs w:val="19"/>
          <w:lang w:val="en-US" w:eastAsia="ru-RU"/>
        </w:rPr>
        <w:t xml:space="preserve">. </w:t>
      </w:r>
      <w:r w:rsidR="004241CB">
        <w:rPr>
          <w:rFonts w:cstheme="minorHAnsi"/>
          <w:sz w:val="19"/>
          <w:szCs w:val="19"/>
          <w:lang w:val="en-US" w:eastAsia="ru-RU"/>
        </w:rPr>
        <w:t>Unless otherwise specified</w:t>
      </w:r>
      <w:r>
        <w:rPr>
          <w:rFonts w:cstheme="minorHAnsi"/>
          <w:sz w:val="19"/>
          <w:szCs w:val="19"/>
          <w:lang w:val="en-US" w:eastAsia="ru-RU"/>
        </w:rPr>
        <w:t xml:space="preserve"> in the agreement on the personal data processing </w:t>
      </w:r>
      <w:r w:rsidR="004241CB">
        <w:rPr>
          <w:rFonts w:cstheme="minorHAnsi"/>
          <w:sz w:val="19"/>
          <w:szCs w:val="19"/>
          <w:lang w:val="en-US" w:eastAsia="ru-RU"/>
        </w:rPr>
        <w:t xml:space="preserve">assignment </w:t>
      </w:r>
      <w:r>
        <w:rPr>
          <w:rFonts w:cstheme="minorHAnsi"/>
          <w:sz w:val="19"/>
          <w:szCs w:val="19"/>
          <w:lang w:val="en-US" w:eastAsia="ru-RU"/>
        </w:rPr>
        <w:t>(Controller-</w:t>
      </w:r>
      <w:r w:rsidRPr="00211AA0">
        <w:rPr>
          <w:rFonts w:cstheme="minorHAnsi"/>
          <w:sz w:val="19"/>
          <w:szCs w:val="19"/>
          <w:lang w:val="en-US" w:eastAsia="ru-RU"/>
        </w:rPr>
        <w:t>to</w:t>
      </w:r>
      <w:r>
        <w:rPr>
          <w:rFonts w:cstheme="minorHAnsi"/>
          <w:sz w:val="19"/>
          <w:szCs w:val="19"/>
          <w:lang w:val="en-US" w:eastAsia="ru-RU"/>
        </w:rPr>
        <w:t>-Processor agreement)</w:t>
      </w:r>
      <w:r w:rsidR="004241CB">
        <w:rPr>
          <w:rFonts w:cstheme="minorHAnsi"/>
          <w:sz w:val="19"/>
          <w:szCs w:val="19"/>
          <w:lang w:val="en-US" w:eastAsia="ru-RU"/>
        </w:rPr>
        <w:t>, shall such agreement be</w:t>
      </w:r>
      <w:r>
        <w:rPr>
          <w:rFonts w:cstheme="minorHAnsi"/>
          <w:sz w:val="19"/>
          <w:szCs w:val="19"/>
          <w:lang w:val="en-US" w:eastAsia="ru-RU"/>
        </w:rPr>
        <w:t xml:space="preserve"> concluded</w:t>
      </w:r>
      <w:r w:rsidR="004241CB">
        <w:rPr>
          <w:rFonts w:cstheme="minorHAnsi"/>
          <w:sz w:val="19"/>
          <w:szCs w:val="19"/>
          <w:lang w:val="en-US" w:eastAsia="ru-RU"/>
        </w:rPr>
        <w:t xml:space="preserve"> by and</w:t>
      </w:r>
      <w:r>
        <w:rPr>
          <w:rFonts w:cstheme="minorHAnsi"/>
          <w:sz w:val="19"/>
          <w:szCs w:val="19"/>
          <w:lang w:val="en-US" w:eastAsia="ru-RU"/>
        </w:rPr>
        <w:t xml:space="preserve"> between the Parties </w:t>
      </w:r>
      <w:r w:rsidR="004241CB">
        <w:rPr>
          <w:rFonts w:cstheme="minorHAnsi"/>
          <w:sz w:val="19"/>
          <w:szCs w:val="19"/>
          <w:lang w:val="en-US" w:eastAsia="ru-RU"/>
        </w:rPr>
        <w:t>for special occasions</w:t>
      </w:r>
      <w:r>
        <w:rPr>
          <w:rFonts w:cstheme="minorHAnsi"/>
          <w:sz w:val="19"/>
          <w:szCs w:val="19"/>
          <w:lang w:val="en-US" w:eastAsia="ru-RU"/>
        </w:rPr>
        <w:t xml:space="preserve"> of </w:t>
      </w:r>
      <w:r w:rsidR="004241CB">
        <w:rPr>
          <w:rFonts w:cstheme="minorHAnsi"/>
          <w:sz w:val="19"/>
          <w:szCs w:val="19"/>
          <w:lang w:val="en-US" w:eastAsia="ru-RU"/>
        </w:rPr>
        <w:t xml:space="preserve">the </w:t>
      </w:r>
      <w:r>
        <w:rPr>
          <w:rFonts w:cstheme="minorHAnsi"/>
          <w:sz w:val="19"/>
          <w:szCs w:val="19"/>
          <w:lang w:val="en-US" w:eastAsia="ru-RU"/>
        </w:rPr>
        <w:t>personal data processing.</w:t>
      </w:r>
    </w:p>
    <w:p w:rsidR="0086637A" w:rsidRPr="00C849F9" w:rsidRDefault="0086637A" w:rsidP="004241CB">
      <w:pPr>
        <w:numPr>
          <w:ilvl w:val="0"/>
          <w:numId w:val="1"/>
        </w:numPr>
        <w:spacing w:after="0"/>
        <w:ind w:left="317" w:hanging="317"/>
        <w:contextualSpacing/>
        <w:rPr>
          <w:rFonts w:cstheme="minorHAnsi"/>
          <w:sz w:val="19"/>
          <w:szCs w:val="19"/>
          <w:lang w:val="en-US" w:eastAsia="ru-RU"/>
        </w:rPr>
      </w:pPr>
      <w:proofErr w:type="gramStart"/>
      <w:r>
        <w:rPr>
          <w:rFonts w:cstheme="minorHAnsi"/>
          <w:sz w:val="19"/>
          <w:szCs w:val="19"/>
          <w:lang w:val="en-US" w:eastAsia="ru-RU"/>
        </w:rPr>
        <w:t>The transferring Party, on the basis of the respective inquiry received from the receiving Party, shall confirm to the receiving Par</w:t>
      </w:r>
      <w:r w:rsidR="006B5170">
        <w:rPr>
          <w:rFonts w:cstheme="minorHAnsi"/>
          <w:sz w:val="19"/>
          <w:szCs w:val="19"/>
          <w:lang w:val="en-US" w:eastAsia="ru-RU"/>
        </w:rPr>
        <w:t>ty that it has obtained consent</w:t>
      </w:r>
      <w:r>
        <w:rPr>
          <w:rFonts w:cstheme="minorHAnsi"/>
          <w:sz w:val="19"/>
          <w:szCs w:val="19"/>
          <w:lang w:val="en-US" w:eastAsia="ru-RU"/>
        </w:rPr>
        <w:t xml:space="preserve"> of personal data subjects for transfer of their personal data, or that the transferring Party has other legal grounds for the personal data transfer and it has duly notified the subjects about transfer of their personal data.</w:t>
      </w:r>
      <w:proofErr w:type="gramEnd"/>
    </w:p>
    <w:p w:rsidR="0086637A" w:rsidRPr="00C849F9" w:rsidRDefault="0086637A" w:rsidP="00C849F9">
      <w:pPr>
        <w:numPr>
          <w:ilvl w:val="0"/>
          <w:numId w:val="1"/>
        </w:numPr>
        <w:spacing w:after="0"/>
        <w:ind w:left="317" w:hanging="317"/>
        <w:contextualSpacing/>
        <w:rPr>
          <w:rFonts w:cstheme="minorHAnsi"/>
          <w:sz w:val="19"/>
          <w:szCs w:val="19"/>
          <w:lang w:val="en-US" w:eastAsia="ru-RU"/>
        </w:rPr>
      </w:pPr>
      <w:r>
        <w:rPr>
          <w:rFonts w:cstheme="minorHAnsi"/>
          <w:sz w:val="19"/>
          <w:szCs w:val="19"/>
          <w:lang w:val="en-US" w:eastAsia="ru-RU"/>
        </w:rPr>
        <w:t>The Parties shall maintain confidentiality and secrecy of the transferred to each other personal data during their processing in accordance with requirements of the</w:t>
      </w:r>
      <w:r w:rsidR="00EA34C9">
        <w:rPr>
          <w:rFonts w:cstheme="minorHAnsi"/>
          <w:sz w:val="19"/>
          <w:szCs w:val="19"/>
          <w:lang w:val="en-US" w:eastAsia="ru-RU"/>
        </w:rPr>
        <w:t xml:space="preserve"> Article 7 and Article 19.1 of the Federal Law No. 152-FZ as of 27.07.2006 “On Personal Data”</w:t>
      </w:r>
      <w:r>
        <w:rPr>
          <w:rFonts w:cstheme="minorHAnsi"/>
          <w:sz w:val="19"/>
          <w:szCs w:val="19"/>
          <w:lang w:val="en-US" w:eastAsia="ru-RU"/>
        </w:rPr>
        <w:t>.</w:t>
      </w:r>
    </w:p>
    <w:p w:rsidR="0086637A" w:rsidRPr="00305BB0" w:rsidRDefault="0086637A" w:rsidP="00305BB0">
      <w:pPr>
        <w:numPr>
          <w:ilvl w:val="0"/>
          <w:numId w:val="1"/>
        </w:numPr>
        <w:spacing w:after="0"/>
        <w:ind w:left="284" w:hanging="284"/>
        <w:contextualSpacing/>
        <w:rPr>
          <w:rFonts w:cstheme="minorHAnsi"/>
          <w:sz w:val="19"/>
          <w:szCs w:val="19"/>
          <w:lang w:val="en-US" w:eastAsia="ru-RU"/>
        </w:rPr>
      </w:pPr>
      <w:r>
        <w:rPr>
          <w:rFonts w:cstheme="minorHAnsi"/>
          <w:sz w:val="19"/>
          <w:szCs w:val="19"/>
          <w:lang w:val="en-US" w:eastAsia="ru-RU"/>
        </w:rPr>
        <w:t xml:space="preserve">The receiving Party has the right to engage third parties to process personal data obtained under this Agreement </w:t>
      </w:r>
      <w:r w:rsidR="00305BB0">
        <w:rPr>
          <w:rFonts w:cstheme="minorHAnsi"/>
          <w:sz w:val="19"/>
          <w:szCs w:val="19"/>
          <w:lang w:val="en-US" w:eastAsia="ru-RU"/>
        </w:rPr>
        <w:t xml:space="preserve">by means of personal data processing order and/or by means of transfer of such personal data to third parties without personal data processing order. </w:t>
      </w:r>
      <w:r w:rsidR="00305BB0" w:rsidRPr="00305BB0">
        <w:rPr>
          <w:rFonts w:cstheme="minorHAnsi"/>
          <w:sz w:val="19"/>
          <w:szCs w:val="19"/>
          <w:lang w:val="en-US" w:eastAsia="ru-RU"/>
        </w:rPr>
        <w:t xml:space="preserve">The involvement of third parties in the processing of personal data can only be carried out if the receiving legal party has the relevant legal grounds and </w:t>
      </w:r>
      <w:proofErr w:type="gramStart"/>
      <w:r w:rsidR="00305BB0" w:rsidRPr="00305BB0">
        <w:rPr>
          <w:rFonts w:cstheme="minorHAnsi"/>
          <w:sz w:val="19"/>
          <w:szCs w:val="19"/>
          <w:lang w:val="en-US" w:eastAsia="ru-RU"/>
        </w:rPr>
        <w:t>provided that</w:t>
      </w:r>
      <w:proofErr w:type="gramEnd"/>
      <w:r w:rsidR="00305BB0" w:rsidRPr="00305BB0">
        <w:rPr>
          <w:rFonts w:cstheme="minorHAnsi"/>
          <w:sz w:val="19"/>
          <w:szCs w:val="19"/>
          <w:lang w:val="en-US" w:eastAsia="ru-RU"/>
        </w:rPr>
        <w:t xml:space="preserve"> third parties ensure the confidentiality and security of personal data during their processing. At the request of the transferring Party, the receiving Party is obliged to provide information on third parties involved in the processing of personal data, as well as information on which personal data, which entities and for what purposes </w:t>
      </w:r>
      <w:proofErr w:type="gramStart"/>
      <w:r w:rsidR="00305BB0" w:rsidRPr="00305BB0">
        <w:rPr>
          <w:rFonts w:cstheme="minorHAnsi"/>
          <w:sz w:val="19"/>
          <w:szCs w:val="19"/>
          <w:lang w:val="en-US" w:eastAsia="ru-RU"/>
        </w:rPr>
        <w:t>were transferred</w:t>
      </w:r>
      <w:proofErr w:type="gramEnd"/>
      <w:r w:rsidR="00305BB0" w:rsidRPr="00305BB0">
        <w:rPr>
          <w:rFonts w:cstheme="minorHAnsi"/>
          <w:sz w:val="19"/>
          <w:szCs w:val="19"/>
          <w:lang w:val="en-US" w:eastAsia="ru-RU"/>
        </w:rPr>
        <w:t xml:space="preserve"> to third parties.</w:t>
      </w:r>
    </w:p>
    <w:p w:rsidR="00F447B9" w:rsidRPr="00FA0F9C" w:rsidRDefault="0086637A" w:rsidP="00FA0F9C">
      <w:pPr>
        <w:numPr>
          <w:ilvl w:val="0"/>
          <w:numId w:val="1"/>
        </w:numPr>
        <w:spacing w:after="0"/>
        <w:ind w:left="317" w:hanging="317"/>
        <w:contextualSpacing/>
        <w:rPr>
          <w:rFonts w:cstheme="minorHAnsi"/>
          <w:sz w:val="19"/>
          <w:szCs w:val="19"/>
          <w:lang w:val="en-US" w:eastAsia="ru-RU"/>
        </w:rPr>
      </w:pPr>
      <w:r>
        <w:rPr>
          <w:rFonts w:cstheme="minorHAnsi"/>
          <w:sz w:val="19"/>
          <w:szCs w:val="19"/>
          <w:lang w:val="en-US" w:eastAsia="ru-RU"/>
        </w:rPr>
        <w:t xml:space="preserve">Each Party shall compensate the other Party for any losses caused to the injured Party as a result of unlawful transfer of personal data from the guilty Party to the injured Party or breach of personal data confidentiality and (or) secrecy that occurred through the fault of the guilty Party during processing of personal data received from the injured Party. Such losses </w:t>
      </w:r>
      <w:proofErr w:type="gramStart"/>
      <w:r>
        <w:rPr>
          <w:rFonts w:cstheme="minorHAnsi"/>
          <w:sz w:val="19"/>
          <w:szCs w:val="19"/>
          <w:lang w:val="en-US" w:eastAsia="ru-RU"/>
        </w:rPr>
        <w:t xml:space="preserve">will be compensated </w:t>
      </w:r>
      <w:r w:rsidR="00305BB0">
        <w:rPr>
          <w:rFonts w:cstheme="minorHAnsi"/>
          <w:sz w:val="19"/>
          <w:szCs w:val="19"/>
          <w:lang w:val="en-US" w:eastAsia="ru-RU"/>
        </w:rPr>
        <w:t xml:space="preserve">and limited to </w:t>
      </w:r>
      <w:r>
        <w:rPr>
          <w:rFonts w:cstheme="minorHAnsi"/>
          <w:sz w:val="19"/>
          <w:szCs w:val="19"/>
          <w:lang w:val="en-US" w:eastAsia="ru-RU"/>
        </w:rPr>
        <w:t>the amount of documented real damage</w:t>
      </w:r>
      <w:proofErr w:type="gramEnd"/>
      <w:r>
        <w:rPr>
          <w:rFonts w:cstheme="minorHAnsi"/>
          <w:sz w:val="19"/>
          <w:szCs w:val="19"/>
          <w:lang w:val="en-US" w:eastAsia="ru-RU"/>
        </w:rPr>
        <w:t>.</w:t>
      </w:r>
      <w:bookmarkStart w:id="0" w:name="_GoBack"/>
      <w:bookmarkEnd w:id="0"/>
    </w:p>
    <w:sectPr w:rsidR="00F447B9" w:rsidRPr="00FA0F9C">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020" w:rsidRDefault="00727020" w:rsidP="00727020">
      <w:pPr>
        <w:spacing w:after="0"/>
      </w:pPr>
      <w:r>
        <w:separator/>
      </w:r>
    </w:p>
  </w:endnote>
  <w:endnote w:type="continuationSeparator" w:id="0">
    <w:p w:rsidR="00727020" w:rsidRDefault="00727020" w:rsidP="007270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020" w:rsidRDefault="00727020" w:rsidP="00727020">
      <w:pPr>
        <w:spacing w:after="0"/>
      </w:pPr>
      <w:r>
        <w:separator/>
      </w:r>
    </w:p>
  </w:footnote>
  <w:footnote w:type="continuationSeparator" w:id="0">
    <w:p w:rsidR="00727020" w:rsidRDefault="00727020" w:rsidP="007270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20" w:rsidRDefault="00727020">
    <w:pPr>
      <w:pStyle w:val="Header"/>
    </w:pPr>
    <w:r w:rsidRPr="00405398">
      <w:rPr>
        <w:noProof/>
        <w:sz w:val="40"/>
        <w:szCs w:val="40"/>
        <w:lang w:eastAsia="ru-RU"/>
      </w:rPr>
      <w:drawing>
        <wp:anchor distT="0" distB="0" distL="114300" distR="114300" simplePos="0" relativeHeight="251659264" behindDoc="1" locked="0" layoutInCell="1" allowOverlap="1" wp14:anchorId="5BAE5259" wp14:editId="499A10B9">
          <wp:simplePos x="0" y="0"/>
          <wp:positionH relativeFrom="margin">
            <wp:posOffset>4124960</wp:posOffset>
          </wp:positionH>
          <wp:positionV relativeFrom="margin">
            <wp:posOffset>-672465</wp:posOffset>
          </wp:positionV>
          <wp:extent cx="2324100" cy="514350"/>
          <wp:effectExtent l="0" t="0" r="0" b="0"/>
          <wp:wrapTight wrapText="bothSides">
            <wp:wrapPolygon edited="0">
              <wp:start x="0" y="0"/>
              <wp:lineTo x="0" y="20800"/>
              <wp:lineTo x="21423" y="20800"/>
              <wp:lineTo x="21423"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24100" cy="514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C4608"/>
    <w:multiLevelType w:val="multilevel"/>
    <w:tmpl w:val="CDE09E22"/>
    <w:lvl w:ilvl="0">
      <w:start w:val="1"/>
      <w:numFmt w:val="decimal"/>
      <w:lvlText w:val="%1."/>
      <w:lvlJc w:val="left"/>
      <w:pPr>
        <w:ind w:left="737" w:hanging="737"/>
      </w:pPr>
      <w:rPr>
        <w:rFonts w:ascii="Calibri" w:hAnsi="Calibri" w:cs="Times New Roman" w:hint="default"/>
        <w:sz w:val="20"/>
      </w:rPr>
    </w:lvl>
    <w:lvl w:ilvl="1">
      <w:start w:val="1"/>
      <w:numFmt w:val="decimal"/>
      <w:lvlText w:val="%1.%2."/>
      <w:lvlJc w:val="left"/>
      <w:pPr>
        <w:ind w:left="737" w:hanging="737"/>
      </w:pPr>
      <w:rPr>
        <w:rFonts w:ascii="Calibri" w:hAnsi="Calibri" w:cs="Times New Roman" w:hint="default"/>
        <w:sz w:val="22"/>
      </w:rPr>
    </w:lvl>
    <w:lvl w:ilvl="2">
      <w:start w:val="1"/>
      <w:numFmt w:val="decimal"/>
      <w:lvlText w:val="%1.%2.%3."/>
      <w:lvlJc w:val="left"/>
      <w:pPr>
        <w:ind w:left="737" w:hanging="737"/>
      </w:pPr>
      <w:rPr>
        <w:rFonts w:ascii="Calibri" w:hAnsi="Calibri" w:cs="Times New Roman" w:hint="default"/>
        <w:sz w:val="22"/>
      </w:rPr>
    </w:lvl>
    <w:lvl w:ilvl="3">
      <w:start w:val="1"/>
      <w:numFmt w:val="decimal"/>
      <w:lvlText w:val="(%4)"/>
      <w:lvlJc w:val="left"/>
      <w:pPr>
        <w:ind w:left="1021" w:hanging="341"/>
      </w:pPr>
      <w:rPr>
        <w:rFonts w:ascii="Calibri" w:hAnsi="Calibri" w:cs="Times New Roman" w:hint="default"/>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8B543E1"/>
    <w:multiLevelType w:val="multilevel"/>
    <w:tmpl w:val="4600ED96"/>
    <w:lvl w:ilvl="0">
      <w:start w:val="1"/>
      <w:numFmt w:val="decimal"/>
      <w:lvlText w:val="%1."/>
      <w:lvlJc w:val="left"/>
      <w:pPr>
        <w:ind w:left="737" w:hanging="737"/>
      </w:pPr>
      <w:rPr>
        <w:rFonts w:ascii="Calibri" w:hAnsi="Calibri" w:cs="Times New Roman" w:hint="default"/>
        <w:sz w:val="22"/>
      </w:rPr>
    </w:lvl>
    <w:lvl w:ilvl="1">
      <w:start w:val="1"/>
      <w:numFmt w:val="decimal"/>
      <w:lvlText w:val="%1.%2."/>
      <w:lvlJc w:val="left"/>
      <w:pPr>
        <w:ind w:left="737" w:hanging="737"/>
      </w:pPr>
      <w:rPr>
        <w:rFonts w:ascii="Calibri" w:hAnsi="Calibri" w:cs="Times New Roman" w:hint="default"/>
        <w:sz w:val="22"/>
      </w:rPr>
    </w:lvl>
    <w:lvl w:ilvl="2">
      <w:start w:val="1"/>
      <w:numFmt w:val="decimal"/>
      <w:lvlText w:val="%1.%2.%3."/>
      <w:lvlJc w:val="left"/>
      <w:pPr>
        <w:ind w:left="737" w:hanging="737"/>
      </w:pPr>
      <w:rPr>
        <w:rFonts w:ascii="Calibri" w:hAnsi="Calibri" w:cs="Times New Roman" w:hint="default"/>
        <w:sz w:val="22"/>
      </w:rPr>
    </w:lvl>
    <w:lvl w:ilvl="3">
      <w:start w:val="1"/>
      <w:numFmt w:val="decimal"/>
      <w:lvlText w:val="(%4)"/>
      <w:lvlJc w:val="left"/>
      <w:pPr>
        <w:ind w:left="1021" w:hanging="341"/>
      </w:pPr>
      <w:rPr>
        <w:rFonts w:ascii="Calibri" w:hAnsi="Calibri" w:cs="Times New Roman"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0484DF0"/>
    <w:multiLevelType w:val="multilevel"/>
    <w:tmpl w:val="4600ED96"/>
    <w:lvl w:ilvl="0">
      <w:start w:val="1"/>
      <w:numFmt w:val="decimal"/>
      <w:lvlText w:val="%1."/>
      <w:lvlJc w:val="left"/>
      <w:pPr>
        <w:ind w:left="737" w:hanging="737"/>
      </w:pPr>
      <w:rPr>
        <w:rFonts w:ascii="Calibri" w:hAnsi="Calibri" w:cs="Times New Roman" w:hint="default"/>
        <w:sz w:val="22"/>
      </w:rPr>
    </w:lvl>
    <w:lvl w:ilvl="1">
      <w:start w:val="1"/>
      <w:numFmt w:val="decimal"/>
      <w:lvlText w:val="%1.%2."/>
      <w:lvlJc w:val="left"/>
      <w:pPr>
        <w:ind w:left="737" w:hanging="737"/>
      </w:pPr>
      <w:rPr>
        <w:rFonts w:ascii="Calibri" w:hAnsi="Calibri" w:cs="Times New Roman" w:hint="default"/>
        <w:sz w:val="22"/>
      </w:rPr>
    </w:lvl>
    <w:lvl w:ilvl="2">
      <w:start w:val="1"/>
      <w:numFmt w:val="decimal"/>
      <w:lvlText w:val="%1.%2.%3."/>
      <w:lvlJc w:val="left"/>
      <w:pPr>
        <w:ind w:left="737" w:hanging="737"/>
      </w:pPr>
      <w:rPr>
        <w:rFonts w:ascii="Calibri" w:hAnsi="Calibri" w:cs="Times New Roman" w:hint="default"/>
        <w:sz w:val="22"/>
      </w:rPr>
    </w:lvl>
    <w:lvl w:ilvl="3">
      <w:start w:val="1"/>
      <w:numFmt w:val="decimal"/>
      <w:lvlText w:val="(%4)"/>
      <w:lvlJc w:val="left"/>
      <w:pPr>
        <w:ind w:left="1021" w:hanging="341"/>
      </w:pPr>
      <w:rPr>
        <w:rFonts w:ascii="Calibri" w:hAnsi="Calibri" w:cs="Times New Roman"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7A"/>
    <w:rsid w:val="00305BB0"/>
    <w:rsid w:val="004241CB"/>
    <w:rsid w:val="006B5170"/>
    <w:rsid w:val="00727020"/>
    <w:rsid w:val="0076124E"/>
    <w:rsid w:val="007F1C1F"/>
    <w:rsid w:val="0086637A"/>
    <w:rsid w:val="00C279C5"/>
    <w:rsid w:val="00C849F9"/>
    <w:rsid w:val="00EA34C9"/>
    <w:rsid w:val="00F447B9"/>
    <w:rsid w:val="00FA0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CA8E"/>
  <w15:docId w15:val="{072646A5-C757-4D2D-B10D-B480DDF1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37A"/>
    <w:pPr>
      <w:spacing w:line="240" w:lineRule="auto"/>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86637A"/>
    <w:rPr>
      <w:sz w:val="20"/>
    </w:rPr>
  </w:style>
  <w:style w:type="paragraph" w:styleId="ListParagraph">
    <w:name w:val="List Paragraph"/>
    <w:basedOn w:val="Normal"/>
    <w:link w:val="ListParagraphChar"/>
    <w:uiPriority w:val="34"/>
    <w:qFormat/>
    <w:rsid w:val="0086637A"/>
    <w:pPr>
      <w:spacing w:after="0"/>
      <w:contextualSpacing/>
    </w:pPr>
  </w:style>
  <w:style w:type="paragraph" w:styleId="Header">
    <w:name w:val="header"/>
    <w:basedOn w:val="Normal"/>
    <w:link w:val="HeaderChar"/>
    <w:uiPriority w:val="99"/>
    <w:unhideWhenUsed/>
    <w:rsid w:val="00727020"/>
    <w:pPr>
      <w:tabs>
        <w:tab w:val="center" w:pos="4677"/>
        <w:tab w:val="right" w:pos="9355"/>
      </w:tabs>
      <w:spacing w:after="0"/>
    </w:pPr>
  </w:style>
  <w:style w:type="character" w:customStyle="1" w:styleId="HeaderChar">
    <w:name w:val="Header Char"/>
    <w:basedOn w:val="DefaultParagraphFont"/>
    <w:link w:val="Header"/>
    <w:uiPriority w:val="99"/>
    <w:rsid w:val="00727020"/>
    <w:rPr>
      <w:sz w:val="20"/>
    </w:rPr>
  </w:style>
  <w:style w:type="paragraph" w:styleId="Footer">
    <w:name w:val="footer"/>
    <w:basedOn w:val="Normal"/>
    <w:link w:val="FooterChar"/>
    <w:uiPriority w:val="99"/>
    <w:unhideWhenUsed/>
    <w:rsid w:val="00727020"/>
    <w:pPr>
      <w:tabs>
        <w:tab w:val="center" w:pos="4677"/>
        <w:tab w:val="right" w:pos="9355"/>
      </w:tabs>
      <w:spacing w:after="0"/>
    </w:pPr>
  </w:style>
  <w:style w:type="character" w:customStyle="1" w:styleId="FooterChar">
    <w:name w:val="Footer Char"/>
    <w:basedOn w:val="DefaultParagraphFont"/>
    <w:link w:val="Footer"/>
    <w:uiPriority w:val="99"/>
    <w:rsid w:val="0072702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2537</Characters>
  <Application>Microsoft Office Word</Application>
  <DocSecurity>0</DocSecurity>
  <Lines>21</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DHL</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Semenkova</dc:creator>
  <cp:lastModifiedBy>Sergey Nosulya (DHL RU)</cp:lastModifiedBy>
  <cp:revision>2</cp:revision>
  <dcterms:created xsi:type="dcterms:W3CDTF">2021-06-01T07:40:00Z</dcterms:created>
  <dcterms:modified xsi:type="dcterms:W3CDTF">2021-06-01T07:40:00Z</dcterms:modified>
</cp:coreProperties>
</file>